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602C2" w14:textId="77777777" w:rsidR="00FC0B48" w:rsidRDefault="00FC0B48" w:rsidP="00FC0B48">
      <w:pPr>
        <w:pStyle w:val="StandardWeb"/>
        <w:spacing w:line="276" w:lineRule="auto"/>
        <w:jc w:val="right"/>
        <w:rPr>
          <w:rFonts w:asciiTheme="minorHAnsi" w:hAnsiTheme="minorHAnsi"/>
          <w:sz w:val="22"/>
        </w:rPr>
      </w:pPr>
      <w:r>
        <w:rPr>
          <w:rFonts w:asciiTheme="minorHAnsi" w:hAnsiTheme="minorHAnsi"/>
          <w:noProof/>
          <w:sz w:val="22"/>
        </w:rPr>
        <w:drawing>
          <wp:inline distT="0" distB="0" distL="0" distR="0" wp14:anchorId="725903B5" wp14:editId="5BF03276">
            <wp:extent cx="2852114" cy="59940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4042" cy="599811"/>
                    </a:xfrm>
                    <a:prstGeom prst="rect">
                      <a:avLst/>
                    </a:prstGeom>
                    <a:noFill/>
                  </pic:spPr>
                </pic:pic>
              </a:graphicData>
            </a:graphic>
          </wp:inline>
        </w:drawing>
      </w:r>
    </w:p>
    <w:p w14:paraId="6304972E" w14:textId="77777777" w:rsidR="00FC0B48" w:rsidRDefault="00FC0B48" w:rsidP="00FC0B48">
      <w:pPr>
        <w:pStyle w:val="StandardWeb"/>
        <w:spacing w:line="276" w:lineRule="auto"/>
        <w:rPr>
          <w:rFonts w:asciiTheme="minorHAnsi" w:hAnsiTheme="minorHAnsi"/>
          <w:sz w:val="22"/>
        </w:rPr>
      </w:pPr>
      <w:r>
        <w:rPr>
          <w:rFonts w:asciiTheme="minorHAnsi" w:hAnsiTheme="minorHAnsi"/>
          <w:noProof/>
          <w:sz w:val="22"/>
        </w:rPr>
        <w:drawing>
          <wp:inline distT="0" distB="0" distL="0" distR="0" wp14:anchorId="28CCAE83" wp14:editId="4F4FA2AB">
            <wp:extent cx="5757062" cy="105969"/>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5525" cy="110358"/>
                    </a:xfrm>
                    <a:prstGeom prst="rect">
                      <a:avLst/>
                    </a:prstGeom>
                    <a:noFill/>
                  </pic:spPr>
                </pic:pic>
              </a:graphicData>
            </a:graphic>
          </wp:inline>
        </w:drawing>
      </w:r>
    </w:p>
    <w:p w14:paraId="22404C6F" w14:textId="1DC5240D" w:rsidR="00174148" w:rsidRPr="00174148" w:rsidRDefault="006C4A38" w:rsidP="00174148">
      <w:pPr>
        <w:pStyle w:val="berschrift1"/>
        <w:rPr>
          <w:rFonts w:asciiTheme="majorHAnsi" w:hAnsiTheme="majorHAnsi"/>
          <w:sz w:val="36"/>
          <w:szCs w:val="36"/>
        </w:rPr>
      </w:pPr>
      <w:r w:rsidRPr="006C4A38">
        <w:rPr>
          <w:rFonts w:asciiTheme="majorHAnsi" w:hAnsiTheme="majorHAnsi"/>
          <w:sz w:val="36"/>
          <w:szCs w:val="36"/>
        </w:rPr>
        <w:t xml:space="preserve">Positionierung des Medienrat der Bremischen Landesmedienanstalt zum Thema Babys und </w:t>
      </w:r>
      <w:proofErr w:type="spellStart"/>
      <w:proofErr w:type="gramStart"/>
      <w:r w:rsidRPr="006C4A38">
        <w:rPr>
          <w:rFonts w:asciiTheme="majorHAnsi" w:hAnsiTheme="majorHAnsi"/>
          <w:sz w:val="36"/>
          <w:szCs w:val="36"/>
        </w:rPr>
        <w:t>Influencer:innen</w:t>
      </w:r>
      <w:proofErr w:type="spellEnd"/>
      <w:proofErr w:type="gramEnd"/>
      <w:r>
        <w:rPr>
          <w:rFonts w:asciiTheme="majorHAnsi" w:hAnsiTheme="majorHAnsi"/>
          <w:sz w:val="36"/>
          <w:szCs w:val="36"/>
        </w:rPr>
        <w:t xml:space="preserve"> </w:t>
      </w:r>
    </w:p>
    <w:p w14:paraId="36AED3D4" w14:textId="011158D0" w:rsidR="006C4A38" w:rsidRPr="006C4A38" w:rsidRDefault="00806C5A" w:rsidP="006C4A38">
      <w:pPr>
        <w:rPr>
          <w:sz w:val="24"/>
          <w:szCs w:val="24"/>
        </w:rPr>
      </w:pPr>
      <w:r w:rsidRPr="00806C5A">
        <w:rPr>
          <w:sz w:val="24"/>
          <w:szCs w:val="24"/>
        </w:rPr>
        <w:t xml:space="preserve">In seiner Sitzung am 11. März 2021 hat sich der Medienrat der Bremischen Landesmedienanstalt zum Thema „Babys und </w:t>
      </w:r>
      <w:proofErr w:type="spellStart"/>
      <w:proofErr w:type="gramStart"/>
      <w:r w:rsidRPr="00806C5A">
        <w:rPr>
          <w:sz w:val="24"/>
          <w:szCs w:val="24"/>
        </w:rPr>
        <w:t>Influencer:innen</w:t>
      </w:r>
      <w:proofErr w:type="spellEnd"/>
      <w:proofErr w:type="gramEnd"/>
      <w:r w:rsidRPr="00806C5A">
        <w:rPr>
          <w:sz w:val="24"/>
          <w:szCs w:val="24"/>
        </w:rPr>
        <w:t xml:space="preserve">“ positioniert und fordert eine Selbstverpflichtung durch „Netiquette“ sämtlicher Verbände und Agenturen, die </w:t>
      </w:r>
      <w:proofErr w:type="spellStart"/>
      <w:r w:rsidRPr="00806C5A">
        <w:rPr>
          <w:sz w:val="24"/>
          <w:szCs w:val="24"/>
        </w:rPr>
        <w:t>Influencer:innen</w:t>
      </w:r>
      <w:proofErr w:type="spellEnd"/>
      <w:r w:rsidRPr="00806C5A">
        <w:rPr>
          <w:sz w:val="24"/>
          <w:szCs w:val="24"/>
        </w:rPr>
        <w:t xml:space="preserve"> vertreten und beraten. Der Medienrat fordert vier konkrete Punkte:</w:t>
      </w:r>
    </w:p>
    <w:p w14:paraId="0549B21C" w14:textId="77777777" w:rsidR="006C4A38" w:rsidRPr="006C4A38" w:rsidRDefault="006C4A38" w:rsidP="006C4A38">
      <w:pPr>
        <w:pStyle w:val="GGSGrauL"/>
        <w:rPr>
          <w:sz w:val="24"/>
          <w:szCs w:val="28"/>
        </w:rPr>
      </w:pPr>
      <w:r w:rsidRPr="006C4A38">
        <w:rPr>
          <w:sz w:val="24"/>
          <w:szCs w:val="28"/>
        </w:rPr>
        <w:t>das Gesicht von unter Dreijährigen im Influencer-Marketing nicht zu zeigen;</w:t>
      </w:r>
    </w:p>
    <w:p w14:paraId="77428827" w14:textId="77777777" w:rsidR="006C4A38" w:rsidRPr="006C4A38" w:rsidRDefault="006C4A38" w:rsidP="006C4A38">
      <w:pPr>
        <w:pStyle w:val="GGSGrauL"/>
        <w:rPr>
          <w:sz w:val="24"/>
          <w:szCs w:val="28"/>
        </w:rPr>
      </w:pPr>
      <w:r w:rsidRPr="006C4A38">
        <w:rPr>
          <w:sz w:val="24"/>
          <w:szCs w:val="28"/>
        </w:rPr>
        <w:t>den echten Namen von unter Dreijährigen nicht anzugeben;</w:t>
      </w:r>
    </w:p>
    <w:p w14:paraId="4E6E31E9" w14:textId="77777777" w:rsidR="006C4A38" w:rsidRPr="006C4A38" w:rsidRDefault="006C4A38" w:rsidP="006C4A38">
      <w:pPr>
        <w:pStyle w:val="GGSGrauL"/>
        <w:rPr>
          <w:sz w:val="24"/>
          <w:szCs w:val="28"/>
        </w:rPr>
      </w:pPr>
      <w:r w:rsidRPr="006C4A38">
        <w:rPr>
          <w:sz w:val="24"/>
          <w:szCs w:val="28"/>
        </w:rPr>
        <w:t>keine Aufnahmen aus dem Kinderzimmer zu veröffentlichen;</w:t>
      </w:r>
    </w:p>
    <w:p w14:paraId="747D874A" w14:textId="77777777" w:rsidR="006C4A38" w:rsidRPr="006C4A38" w:rsidRDefault="006C4A38" w:rsidP="006C4A38">
      <w:pPr>
        <w:pStyle w:val="GGSGrauL"/>
        <w:rPr>
          <w:sz w:val="24"/>
          <w:szCs w:val="28"/>
        </w:rPr>
      </w:pPr>
      <w:r w:rsidRPr="006C4A38">
        <w:rPr>
          <w:sz w:val="24"/>
          <w:szCs w:val="28"/>
        </w:rPr>
        <w:t>keine Fotos von Kleinkindern in kompromittierenden Positionen zu veröffentlichen.</w:t>
      </w:r>
    </w:p>
    <w:p w14:paraId="62F01240" w14:textId="522B9B43" w:rsidR="006C4A38" w:rsidRPr="006C4A38" w:rsidRDefault="00806C5A" w:rsidP="006C4A38">
      <w:pPr>
        <w:rPr>
          <w:sz w:val="24"/>
          <w:szCs w:val="24"/>
        </w:rPr>
      </w:pPr>
      <w:r w:rsidRPr="00806C5A">
        <w:rPr>
          <w:sz w:val="24"/>
          <w:szCs w:val="24"/>
        </w:rPr>
        <w:t xml:space="preserve">Kleinkinder werden auf (Foto-)Plattformen wie Instagram zunehmend sichtbar für die kommerziellen Interessen ihrer Eltern eingesetzt. Immer mehr </w:t>
      </w:r>
      <w:proofErr w:type="spellStart"/>
      <w:proofErr w:type="gramStart"/>
      <w:r w:rsidRPr="00806C5A">
        <w:rPr>
          <w:sz w:val="24"/>
          <w:szCs w:val="24"/>
        </w:rPr>
        <w:t>Influencer:innen</w:t>
      </w:r>
      <w:proofErr w:type="spellEnd"/>
      <w:proofErr w:type="gramEnd"/>
      <w:r w:rsidRPr="00806C5A">
        <w:rPr>
          <w:sz w:val="24"/>
          <w:szCs w:val="24"/>
        </w:rPr>
        <w:t xml:space="preserve"> posieren mit ihren Babys auf Instagram, werben nebenbei für Produkte und setzen ihre Kleinkinder für kommerzielle Interessen ein. Regulatorische Eingriffsmöglichkeiten gibt es nicht, unter anderem weil das Jugendarbeitsschutzgesetz erst für Kinder ab drei Jahren gilt.</w:t>
      </w:r>
    </w:p>
    <w:p w14:paraId="24FB6288" w14:textId="272910EC" w:rsidR="006C4A38" w:rsidRPr="006C4A38" w:rsidRDefault="00806C5A" w:rsidP="006C4A38">
      <w:pPr>
        <w:rPr>
          <w:sz w:val="24"/>
          <w:szCs w:val="24"/>
        </w:rPr>
      </w:pPr>
      <w:r w:rsidRPr="00806C5A">
        <w:rPr>
          <w:sz w:val="24"/>
          <w:szCs w:val="24"/>
        </w:rPr>
        <w:t xml:space="preserve">Solange es keine gesetzlichen Regelungen im Jugendarbeitsschutzgesetz gibt, die diese Aspekte regulieren, bedarf es einer umgehenden Selbstverpflichtung durch entsprechende „Netiquette“ sämtlicher Verbände und Agenturen, die </w:t>
      </w:r>
      <w:proofErr w:type="spellStart"/>
      <w:proofErr w:type="gramStart"/>
      <w:r w:rsidRPr="00806C5A">
        <w:rPr>
          <w:sz w:val="24"/>
          <w:szCs w:val="24"/>
        </w:rPr>
        <w:t>Influencer:innen</w:t>
      </w:r>
      <w:proofErr w:type="spellEnd"/>
      <w:proofErr w:type="gramEnd"/>
      <w:r w:rsidRPr="00806C5A">
        <w:rPr>
          <w:sz w:val="24"/>
          <w:szCs w:val="24"/>
        </w:rPr>
        <w:t xml:space="preserve"> vertreten und beraten.</w:t>
      </w:r>
      <w:r>
        <w:rPr>
          <w:sz w:val="24"/>
          <w:szCs w:val="24"/>
        </w:rPr>
        <w:t xml:space="preserve"> </w:t>
      </w:r>
      <w:r w:rsidR="006C4A38" w:rsidRPr="006C4A38">
        <w:rPr>
          <w:sz w:val="24"/>
          <w:szCs w:val="24"/>
        </w:rPr>
        <w:t xml:space="preserve"> </w:t>
      </w:r>
    </w:p>
    <w:p w14:paraId="21F29717" w14:textId="6379BBA2" w:rsidR="006C4A38" w:rsidRPr="006C4A38" w:rsidRDefault="00806C5A" w:rsidP="006C4A38">
      <w:pPr>
        <w:rPr>
          <w:sz w:val="24"/>
          <w:szCs w:val="24"/>
        </w:rPr>
      </w:pPr>
      <w:r w:rsidRPr="00806C5A">
        <w:rPr>
          <w:sz w:val="24"/>
          <w:szCs w:val="24"/>
        </w:rPr>
        <w:t>Diese Positionierung ist auch notwendig, um auf den Unterschied von Werbung im TV und in den Sozialen Medien hinzuweisen. Kleinkinder in TV-Werbespots bleiben größtenteils anonym und sind nur sehr kurz zu sehen, während bei Kleinkindern zum Beispiel auf Instagram die gesamte Kindheit vermarktet wird und auch persönliche Daten geteilt werden. Auch deswegen will der Medienrat mit seiner Positionierung einer Überkommerzialisierung der Kindheit nicht mehr tatenlos zusehen</w:t>
      </w:r>
      <w:r w:rsidR="006C4A38" w:rsidRPr="006C4A38">
        <w:rPr>
          <w:sz w:val="24"/>
          <w:szCs w:val="24"/>
        </w:rPr>
        <w:t xml:space="preserve">. </w:t>
      </w:r>
    </w:p>
    <w:p w14:paraId="40AF4F37" w14:textId="0CD75E8F" w:rsidR="006C4A38" w:rsidRPr="006C4A38" w:rsidRDefault="00806C5A" w:rsidP="006C4A38">
      <w:pPr>
        <w:rPr>
          <w:sz w:val="24"/>
          <w:szCs w:val="24"/>
        </w:rPr>
      </w:pPr>
      <w:r w:rsidRPr="00806C5A">
        <w:rPr>
          <w:sz w:val="24"/>
          <w:szCs w:val="24"/>
        </w:rPr>
        <w:t xml:space="preserve">Auch brema-Direktorin Cornelia Holsten hatte zu diesem Thema einen juristischen Beitrag veröffentlicht, in dem sie aufzeigt, dass es bisher auf keiner Ebene regulatorische Eingriffsmöglichkeiten bei dieser Praxis gibt: </w:t>
      </w:r>
      <w:hyperlink r:id="rId9" w:history="1">
        <w:r w:rsidRPr="00C709BE">
          <w:rPr>
            <w:rStyle w:val="Hyperlink"/>
            <w:sz w:val="24"/>
            <w:szCs w:val="24"/>
          </w:rPr>
          <w:t>https://www.epd.de/fachdienst/epd-medien/schwerpunkt/debatte/guck-mal-wie-suess</w:t>
        </w:r>
      </w:hyperlink>
      <w:r w:rsidR="006C4A38" w:rsidRPr="006C4A38">
        <w:rPr>
          <w:sz w:val="24"/>
          <w:szCs w:val="24"/>
        </w:rPr>
        <w:t>.</w:t>
      </w:r>
    </w:p>
    <w:p w14:paraId="210FB32A" w14:textId="2B320A80" w:rsidR="00D2691E" w:rsidRDefault="00971E1B" w:rsidP="00FC3FBC"/>
    <w:sectPr w:rsidR="00D2691E" w:rsidSect="00D878BB">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B98B" w14:textId="77777777" w:rsidR="00971E1B" w:rsidRDefault="00971E1B" w:rsidP="00704FEE">
      <w:pPr>
        <w:spacing w:after="0" w:line="240" w:lineRule="auto"/>
      </w:pPr>
      <w:r>
        <w:separator/>
      </w:r>
    </w:p>
  </w:endnote>
  <w:endnote w:type="continuationSeparator" w:id="0">
    <w:p w14:paraId="70918F76" w14:textId="77777777" w:rsidR="00971E1B" w:rsidRDefault="00971E1B" w:rsidP="0070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416A" w14:textId="16287D0A" w:rsidR="006C4A38" w:rsidRDefault="006C4A38">
    <w:pPr>
      <w:pStyle w:val="Fuzeile"/>
    </w:pPr>
    <w:r>
      <w:rPr>
        <w:noProof/>
      </w:rPr>
      <w:drawing>
        <wp:anchor distT="0" distB="0" distL="114300" distR="114300" simplePos="0" relativeHeight="251659264" behindDoc="0" locked="0" layoutInCell="1" allowOverlap="1" wp14:anchorId="2A51AE3E" wp14:editId="098438F9">
          <wp:simplePos x="0" y="0"/>
          <wp:positionH relativeFrom="column">
            <wp:posOffset>1218565</wp:posOffset>
          </wp:positionH>
          <wp:positionV relativeFrom="paragraph">
            <wp:posOffset>-85725</wp:posOffset>
          </wp:positionV>
          <wp:extent cx="4699000" cy="454025"/>
          <wp:effectExtent l="0" t="0" r="0" b="3175"/>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4EB11" w14:textId="77777777" w:rsidR="00971E1B" w:rsidRDefault="00971E1B" w:rsidP="00704FEE">
      <w:pPr>
        <w:spacing w:after="0" w:line="240" w:lineRule="auto"/>
      </w:pPr>
      <w:r>
        <w:separator/>
      </w:r>
    </w:p>
  </w:footnote>
  <w:footnote w:type="continuationSeparator" w:id="0">
    <w:p w14:paraId="4EB9F905" w14:textId="77777777" w:rsidR="00971E1B" w:rsidRDefault="00971E1B" w:rsidP="00704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0D4"/>
    <w:multiLevelType w:val="hybridMultilevel"/>
    <w:tmpl w:val="EAC2C592"/>
    <w:lvl w:ilvl="0" w:tplc="D0527230">
      <w:start w:val="8"/>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521B8"/>
    <w:multiLevelType w:val="multilevel"/>
    <w:tmpl w:val="E044432C"/>
    <w:lvl w:ilvl="0">
      <w:start w:val="1"/>
      <w:numFmt w:val="none"/>
      <w:lvlText w:val="%1"/>
      <w:lvlJc w:val="left"/>
      <w:pPr>
        <w:ind w:left="0" w:firstLine="0"/>
      </w:pPr>
      <w:rPr>
        <w:rFonts w:hint="default"/>
      </w:rPr>
    </w:lvl>
    <w:lvl w:ilvl="1">
      <w:start w:val="1"/>
      <w:numFmt w:val="decimal"/>
      <w:pStyle w:val="GGSGrauL"/>
      <w:lvlText w:val="%2."/>
      <w:lvlJc w:val="left"/>
      <w:pPr>
        <w:tabs>
          <w:tab w:val="num" w:pos="454"/>
        </w:tabs>
        <w:ind w:left="454" w:hanging="329"/>
      </w:pPr>
      <w:rPr>
        <w:rFonts w:hint="default"/>
      </w:rPr>
    </w:lvl>
    <w:lvl w:ilvl="2">
      <w:start w:val="1"/>
      <w:numFmt w:val="lowerRoman"/>
      <w:lvlText w:val="%3."/>
      <w:lvlJc w:val="right"/>
      <w:pPr>
        <w:ind w:left="2285" w:hanging="180"/>
      </w:pPr>
      <w:rPr>
        <w:rFonts w:hint="default"/>
      </w:rPr>
    </w:lvl>
    <w:lvl w:ilvl="3">
      <w:start w:val="1"/>
      <w:numFmt w:val="decimal"/>
      <w:lvlText w:val="%4."/>
      <w:lvlJc w:val="left"/>
      <w:pPr>
        <w:ind w:left="3005" w:hanging="360"/>
      </w:pPr>
      <w:rPr>
        <w:rFonts w:hint="default"/>
      </w:rPr>
    </w:lvl>
    <w:lvl w:ilvl="4">
      <w:start w:val="1"/>
      <w:numFmt w:val="lowerLetter"/>
      <w:lvlText w:val="%5."/>
      <w:lvlJc w:val="left"/>
      <w:pPr>
        <w:ind w:left="3725" w:hanging="360"/>
      </w:pPr>
      <w:rPr>
        <w:rFonts w:hint="default"/>
      </w:rPr>
    </w:lvl>
    <w:lvl w:ilvl="5">
      <w:start w:val="1"/>
      <w:numFmt w:val="lowerRoman"/>
      <w:lvlText w:val="%6."/>
      <w:lvlJc w:val="right"/>
      <w:pPr>
        <w:ind w:left="4445" w:hanging="180"/>
      </w:pPr>
      <w:rPr>
        <w:rFonts w:hint="default"/>
      </w:rPr>
    </w:lvl>
    <w:lvl w:ilvl="6">
      <w:start w:val="1"/>
      <w:numFmt w:val="decimal"/>
      <w:lvlText w:val="%7."/>
      <w:lvlJc w:val="left"/>
      <w:pPr>
        <w:ind w:left="5165" w:hanging="360"/>
      </w:pPr>
      <w:rPr>
        <w:rFonts w:hint="default"/>
      </w:rPr>
    </w:lvl>
    <w:lvl w:ilvl="7">
      <w:start w:val="1"/>
      <w:numFmt w:val="lowerLetter"/>
      <w:lvlText w:val="%8."/>
      <w:lvlJc w:val="left"/>
      <w:pPr>
        <w:ind w:left="5885" w:hanging="360"/>
      </w:pPr>
      <w:rPr>
        <w:rFonts w:hint="default"/>
      </w:rPr>
    </w:lvl>
    <w:lvl w:ilvl="8">
      <w:start w:val="1"/>
      <w:numFmt w:val="lowerRoman"/>
      <w:lvlText w:val="%9."/>
      <w:lvlJc w:val="right"/>
      <w:pPr>
        <w:ind w:left="6605" w:hanging="180"/>
      </w:pPr>
      <w:rPr>
        <w:rFonts w:hint="default"/>
      </w:rPr>
    </w:lvl>
  </w:abstractNum>
  <w:abstractNum w:abstractNumId="2" w15:restartNumberingAfterBreak="0">
    <w:nsid w:val="20284F55"/>
    <w:multiLevelType w:val="hybridMultilevel"/>
    <w:tmpl w:val="792866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1F7B4C"/>
    <w:multiLevelType w:val="hybridMultilevel"/>
    <w:tmpl w:val="348C5AF6"/>
    <w:lvl w:ilvl="0" w:tplc="D0527230">
      <w:start w:val="8"/>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140453"/>
    <w:multiLevelType w:val="hybridMultilevel"/>
    <w:tmpl w:val="35FA2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B268D3"/>
    <w:multiLevelType w:val="hybridMultilevel"/>
    <w:tmpl w:val="DB2242D0"/>
    <w:lvl w:ilvl="0" w:tplc="5434E174">
      <w:start w:val="8"/>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4B2342"/>
    <w:multiLevelType w:val="multilevel"/>
    <w:tmpl w:val="8BCC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48"/>
    <w:rsid w:val="0000349F"/>
    <w:rsid w:val="000118CA"/>
    <w:rsid w:val="000234CE"/>
    <w:rsid w:val="00042B73"/>
    <w:rsid w:val="0005674C"/>
    <w:rsid w:val="000A1629"/>
    <w:rsid w:val="000A7316"/>
    <w:rsid w:val="000D4188"/>
    <w:rsid w:val="000F050B"/>
    <w:rsid w:val="000F5BD4"/>
    <w:rsid w:val="00142907"/>
    <w:rsid w:val="00174148"/>
    <w:rsid w:val="00185298"/>
    <w:rsid w:val="001B62EA"/>
    <w:rsid w:val="00203EFF"/>
    <w:rsid w:val="0022141D"/>
    <w:rsid w:val="00221E56"/>
    <w:rsid w:val="00264FF5"/>
    <w:rsid w:val="0028494C"/>
    <w:rsid w:val="002B159B"/>
    <w:rsid w:val="00321023"/>
    <w:rsid w:val="00324683"/>
    <w:rsid w:val="00332922"/>
    <w:rsid w:val="003A4404"/>
    <w:rsid w:val="003C5931"/>
    <w:rsid w:val="004119DD"/>
    <w:rsid w:val="004464E7"/>
    <w:rsid w:val="00466BB0"/>
    <w:rsid w:val="00490CA6"/>
    <w:rsid w:val="005377BC"/>
    <w:rsid w:val="005528CA"/>
    <w:rsid w:val="00564A05"/>
    <w:rsid w:val="00577A50"/>
    <w:rsid w:val="005A6AA1"/>
    <w:rsid w:val="005E5205"/>
    <w:rsid w:val="005F3820"/>
    <w:rsid w:val="0061574C"/>
    <w:rsid w:val="00641F6F"/>
    <w:rsid w:val="0066601E"/>
    <w:rsid w:val="0069048C"/>
    <w:rsid w:val="00693FBE"/>
    <w:rsid w:val="006C3852"/>
    <w:rsid w:val="006C4A38"/>
    <w:rsid w:val="006C72FF"/>
    <w:rsid w:val="00704FEE"/>
    <w:rsid w:val="0074014B"/>
    <w:rsid w:val="00741082"/>
    <w:rsid w:val="007430BD"/>
    <w:rsid w:val="00747BD4"/>
    <w:rsid w:val="007579A5"/>
    <w:rsid w:val="00783D69"/>
    <w:rsid w:val="007B787C"/>
    <w:rsid w:val="00806C5A"/>
    <w:rsid w:val="008718F0"/>
    <w:rsid w:val="008919CF"/>
    <w:rsid w:val="008B0BEC"/>
    <w:rsid w:val="008D1014"/>
    <w:rsid w:val="008D50A1"/>
    <w:rsid w:val="008E0D2D"/>
    <w:rsid w:val="00910BA9"/>
    <w:rsid w:val="00946F96"/>
    <w:rsid w:val="00971E1B"/>
    <w:rsid w:val="009832A1"/>
    <w:rsid w:val="00992275"/>
    <w:rsid w:val="009A1F11"/>
    <w:rsid w:val="009B7B20"/>
    <w:rsid w:val="009D2F2E"/>
    <w:rsid w:val="00A239EC"/>
    <w:rsid w:val="00A460F5"/>
    <w:rsid w:val="00A97237"/>
    <w:rsid w:val="00AA64EB"/>
    <w:rsid w:val="00B112B4"/>
    <w:rsid w:val="00B22918"/>
    <w:rsid w:val="00B25F7D"/>
    <w:rsid w:val="00B65862"/>
    <w:rsid w:val="00B85B76"/>
    <w:rsid w:val="00BA0D3F"/>
    <w:rsid w:val="00BE5FA8"/>
    <w:rsid w:val="00C55EDE"/>
    <w:rsid w:val="00C632C4"/>
    <w:rsid w:val="00C64385"/>
    <w:rsid w:val="00CB196C"/>
    <w:rsid w:val="00CE22D3"/>
    <w:rsid w:val="00D24CF6"/>
    <w:rsid w:val="00D76B6F"/>
    <w:rsid w:val="00D87541"/>
    <w:rsid w:val="00D878BB"/>
    <w:rsid w:val="00D919A8"/>
    <w:rsid w:val="00D92DBD"/>
    <w:rsid w:val="00DA4D50"/>
    <w:rsid w:val="00DB5759"/>
    <w:rsid w:val="00DB6C33"/>
    <w:rsid w:val="00E25B05"/>
    <w:rsid w:val="00EA2B0C"/>
    <w:rsid w:val="00EE170D"/>
    <w:rsid w:val="00EE458C"/>
    <w:rsid w:val="00F239E6"/>
    <w:rsid w:val="00F347BC"/>
    <w:rsid w:val="00F84A59"/>
    <w:rsid w:val="00F93CB8"/>
    <w:rsid w:val="00FA7F6E"/>
    <w:rsid w:val="00FB1363"/>
    <w:rsid w:val="00FB2901"/>
    <w:rsid w:val="00FC0B48"/>
    <w:rsid w:val="00FC228A"/>
    <w:rsid w:val="00FC3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0392"/>
  <w15:docId w15:val="{B6EF6941-3350-425E-A839-B5C68012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74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C0B48"/>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FC0B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0B48"/>
  </w:style>
  <w:style w:type="paragraph" w:styleId="Sprechblasentext">
    <w:name w:val="Balloon Text"/>
    <w:basedOn w:val="Standard"/>
    <w:link w:val="SprechblasentextZchn"/>
    <w:uiPriority w:val="99"/>
    <w:semiHidden/>
    <w:unhideWhenUsed/>
    <w:rsid w:val="00FC0B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B48"/>
    <w:rPr>
      <w:rFonts w:ascii="Tahoma" w:hAnsi="Tahoma" w:cs="Tahoma"/>
      <w:sz w:val="16"/>
      <w:szCs w:val="16"/>
    </w:rPr>
  </w:style>
  <w:style w:type="paragraph" w:styleId="Listenabsatz">
    <w:name w:val="List Paragraph"/>
    <w:basedOn w:val="Standard"/>
    <w:uiPriority w:val="34"/>
    <w:qFormat/>
    <w:rsid w:val="000A1629"/>
    <w:pPr>
      <w:ind w:left="720"/>
      <w:contextualSpacing/>
    </w:pPr>
  </w:style>
  <w:style w:type="paragraph" w:styleId="Fuzeile">
    <w:name w:val="footer"/>
    <w:basedOn w:val="Standard"/>
    <w:link w:val="FuzeileZchn"/>
    <w:uiPriority w:val="99"/>
    <w:unhideWhenUsed/>
    <w:rsid w:val="00FC3F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FBC"/>
  </w:style>
  <w:style w:type="character" w:styleId="Hyperlink">
    <w:name w:val="Hyperlink"/>
    <w:basedOn w:val="Absatz-Standardschriftart"/>
    <w:uiPriority w:val="99"/>
    <w:unhideWhenUsed/>
    <w:rsid w:val="00B85B76"/>
    <w:rPr>
      <w:color w:val="0000FF" w:themeColor="hyperlink"/>
      <w:u w:val="single"/>
    </w:rPr>
  </w:style>
  <w:style w:type="character" w:styleId="NichtaufgelsteErwhnung">
    <w:name w:val="Unresolved Mention"/>
    <w:basedOn w:val="Absatz-Standardschriftart"/>
    <w:uiPriority w:val="99"/>
    <w:semiHidden/>
    <w:unhideWhenUsed/>
    <w:rsid w:val="00946F96"/>
    <w:rPr>
      <w:color w:val="605E5C"/>
      <w:shd w:val="clear" w:color="auto" w:fill="E1DFDD"/>
    </w:rPr>
  </w:style>
  <w:style w:type="character" w:styleId="Kommentarzeichen">
    <w:name w:val="annotation reference"/>
    <w:basedOn w:val="Absatz-Standardschriftart"/>
    <w:uiPriority w:val="99"/>
    <w:semiHidden/>
    <w:unhideWhenUsed/>
    <w:rsid w:val="00577A50"/>
    <w:rPr>
      <w:sz w:val="16"/>
      <w:szCs w:val="16"/>
    </w:rPr>
  </w:style>
  <w:style w:type="paragraph" w:styleId="Kommentartext">
    <w:name w:val="annotation text"/>
    <w:basedOn w:val="Standard"/>
    <w:link w:val="KommentartextZchn"/>
    <w:uiPriority w:val="99"/>
    <w:semiHidden/>
    <w:unhideWhenUsed/>
    <w:rsid w:val="00577A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7A50"/>
    <w:rPr>
      <w:sz w:val="20"/>
      <w:szCs w:val="20"/>
    </w:rPr>
  </w:style>
  <w:style w:type="paragraph" w:styleId="Kommentarthema">
    <w:name w:val="annotation subject"/>
    <w:basedOn w:val="Kommentartext"/>
    <w:next w:val="Kommentartext"/>
    <w:link w:val="KommentarthemaZchn"/>
    <w:uiPriority w:val="99"/>
    <w:semiHidden/>
    <w:unhideWhenUsed/>
    <w:rsid w:val="00577A50"/>
    <w:rPr>
      <w:b/>
      <w:bCs/>
    </w:rPr>
  </w:style>
  <w:style w:type="character" w:customStyle="1" w:styleId="KommentarthemaZchn">
    <w:name w:val="Kommentarthema Zchn"/>
    <w:basedOn w:val="KommentartextZchn"/>
    <w:link w:val="Kommentarthema"/>
    <w:uiPriority w:val="99"/>
    <w:semiHidden/>
    <w:rsid w:val="00577A50"/>
    <w:rPr>
      <w:b/>
      <w:bCs/>
      <w:sz w:val="20"/>
      <w:szCs w:val="20"/>
    </w:rPr>
  </w:style>
  <w:style w:type="character" w:customStyle="1" w:styleId="berschrift1Zchn">
    <w:name w:val="Überschrift 1 Zchn"/>
    <w:basedOn w:val="Absatz-Standardschriftart"/>
    <w:link w:val="berschrift1"/>
    <w:uiPriority w:val="9"/>
    <w:rsid w:val="00174148"/>
    <w:rPr>
      <w:rFonts w:ascii="Times New Roman" w:eastAsia="Times New Roman" w:hAnsi="Times New Roman" w:cs="Times New Roman"/>
      <w:b/>
      <w:bCs/>
      <w:kern w:val="36"/>
      <w:sz w:val="48"/>
      <w:szCs w:val="48"/>
    </w:rPr>
  </w:style>
  <w:style w:type="paragraph" w:customStyle="1" w:styleId="GGSGrauL">
    <w:name w:val="GGS Grau L"/>
    <w:basedOn w:val="Standard"/>
    <w:link w:val="GGSGrauLZchn"/>
    <w:uiPriority w:val="8"/>
    <w:qFormat/>
    <w:rsid w:val="006C4A38"/>
    <w:pPr>
      <w:numPr>
        <w:ilvl w:val="1"/>
        <w:numId w:val="7"/>
      </w:numPr>
      <w:pBdr>
        <w:top w:val="single" w:sz="24" w:space="1" w:color="BFBFBF" w:themeColor="background1" w:themeShade="BF"/>
        <w:left w:val="single" w:sz="24" w:space="3" w:color="BFBFBF" w:themeColor="background1" w:themeShade="BF"/>
        <w:bottom w:val="single" w:sz="24" w:space="1" w:color="BFBFBF" w:themeColor="background1" w:themeShade="BF"/>
        <w:right w:val="single" w:sz="24" w:space="3" w:color="BFBFBF" w:themeColor="background1" w:themeShade="BF"/>
      </w:pBdr>
      <w:shd w:val="clear" w:color="auto" w:fill="BFBFBF" w:themeFill="background1" w:themeFillShade="BF"/>
      <w:spacing w:after="120" w:line="240" w:lineRule="auto"/>
      <w:ind w:right="136"/>
    </w:pPr>
    <w:rPr>
      <w:rFonts w:eastAsia="Times New Roman" w:cs="Times New Roman"/>
      <w:szCs w:val="24"/>
    </w:rPr>
  </w:style>
  <w:style w:type="character" w:customStyle="1" w:styleId="GGSGrauLZchn">
    <w:name w:val="GGS Grau L Zchn"/>
    <w:basedOn w:val="Absatz-Standardschriftart"/>
    <w:link w:val="GGSGrauL"/>
    <w:uiPriority w:val="8"/>
    <w:rsid w:val="006C4A38"/>
    <w:rPr>
      <w:rFonts w:eastAsia="Times New Roman" w:cs="Times New Roman"/>
      <w:szCs w:val="24"/>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78460">
      <w:bodyDiv w:val="1"/>
      <w:marLeft w:val="0"/>
      <w:marRight w:val="0"/>
      <w:marTop w:val="0"/>
      <w:marBottom w:val="0"/>
      <w:divBdr>
        <w:top w:val="none" w:sz="0" w:space="0" w:color="auto"/>
        <w:left w:val="none" w:sz="0" w:space="0" w:color="auto"/>
        <w:bottom w:val="none" w:sz="0" w:space="0" w:color="auto"/>
        <w:right w:val="none" w:sz="0" w:space="0" w:color="auto"/>
      </w:divBdr>
    </w:div>
    <w:div w:id="15674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d.de/fachdienst/epd-medien/schwerpunkt/debatte/guck-mal-wie-su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hschumacher</dc:creator>
  <cp:lastModifiedBy>Riedel, Franziska</cp:lastModifiedBy>
  <cp:revision>3</cp:revision>
  <cp:lastPrinted>2020-01-20T14:36:00Z</cp:lastPrinted>
  <dcterms:created xsi:type="dcterms:W3CDTF">2021-04-07T18:01:00Z</dcterms:created>
  <dcterms:modified xsi:type="dcterms:W3CDTF">2021-04-08T13:14:00Z</dcterms:modified>
</cp:coreProperties>
</file>